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97 vom 22. Februar 1991</w:t>
      </w:r>
    </w:p>
    <w:p>
      <w:r>
        <w:t>Bundesgericht (BGE), 1991-02-22, DE</w:t>
      </w:r>
    </w:p>
    <w:p>
      <w:r>
        <w:rPr>
          <w:b/>
        </w:rPr>
        <w:t xml:space="preserve">Quelle: </w:t>
      </w:r>
      <w:r>
        <w:t>https://mcp.opencaselaw.ch/entscheid/bge_117 IA 97</w:t>
      </w:r>
    </w:p>
    <w:p>
      <w:r>
        <w:t>FR: BGE 117 IA 97 du 22 février 1991</w:t>
      </w:r>
    </w:p>
    <w:p>
      <w:r>
        <w:t>IT: BGE 117 IA 97 del 22 febbraio 1991</w:t>
      </w:r>
    </w:p>
    <w:p>
      <w:pPr>
        <w:pStyle w:val="Heading2"/>
      </w:pPr>
      <w:r>
        <w:t>Regeste</w:t>
      </w:r>
    </w:p>
    <w:p>
      <w:r>
        <w:t>Regeste Art. 4 BV; Ausbildungszulagen. 1. Rechtsetzungskompetenz und Gestaltungsspielraum der Kantone im Bereich der Familienzulagen (E. 2). 2. Die Regelung in § 12 des thurgauischen Gesetzes über die Kinder- und Ausbildungszulagen (KAZG), wonach für Kinder mit zivilrechtlichem Wohnsitz im Ausland keine Ausbildungszulagen ausgerichtet werden, lässt sich auf ernsthafte, sachliche Gründe stützen und hält demzufolge vor Art. 4 Abs. 1 BV (Rechtsgleichheit) stand (E. 3). 3. Das Abkommen zwischen der Schweizerischen Eidgenossenschaft und der Italienischen Republik über Soziale Sicherheit von 1962/1964 bezieht sich nur auf die bundesrechtliche Gesetzgebung über die Familienzulagen; auf kantonalrechtliche Familienzulagenordnungen ist es nicht anwendbar (E. 4). 4. Es ist nicht willkürlich, für die Auslegung des in § 12 KAZG verwendeten Ausdrucks "zivilrechtlicher Wohnsitz" auf den tatsächlichen Wohnsitzbegriff des Art. 23 Abs. 1 ZGB abzustellen (E. 5).</w:t>
      </w:r>
    </w:p>
    <w:p>
      <w:pPr>
        <w:pStyle w:val="Heading2"/>
      </w:pPr>
      <w:r>
        <w:t>Erwägungen</w:t>
      </w:r>
    </w:p>
    <w:p>
      <w:r>
        <w:rPr>
          <w:b/>
        </w:rPr>
        <w:t>E. 1</w:t>
      </w:r>
    </w:p>
    <w:p>
      <w:r>
        <w:t>Der Beschwerdeführer macht geltend, § 12 des thurgauischen Gesetzes über die Kinder- und Ausbildungszulagen widerspreche dem Gleichbehandlungsgebot sowie dem Willkürverbot gemäss Art. 4 BV und verletze das Sozialversicherungsabkommen mit Italien. Damit verlangt er eine vorfrageweise Überprüfung dieser Bestimmung auf ihre Verfassungsmässigkeit und auf ihre Vereinbarkeit mit dem massgebenden Staatsvertrag, was im Verfahren der staatsrechtlichen Beschwerde zulässig ist: Die Rüge, BGE 117 Ia 97 S. 100 eine kantonale Norm widerspreche der Bundesverfassung (oder einem Staatsvertrag), kann noch bei der Anfechtung eines diese Norm anwendenden Entscheides vorgebracht werden. Die allfällige vorfrageweise Feststellung der Verfassungs- oder Staatsvertragswidrigkeit der fraglichen Norm führt indessen nicht zu deren Aufhebung, sondern hat lediglich zur Folge, dass die Vorschrift auf den Beschwerdeführer nicht angewendet und der gestützt auf sie ergangene Entscheid aufgehoben wird ( BGE 114 Ia 52 E. 2a, mit Hinweisen).</w:t>
      </w:r>
    </w:p>
    <w:p>
      <w:r>
        <w:rPr>
          <w:b/>
        </w:rPr>
        <w:t>E. 2</w:t>
      </w:r>
    </w:p>
    <w:p>
      <w:r>
        <w:t>a) Die Kantone können auf dem Gebiete der Familienzulagen autonom legiferieren, solange und insoweit der Bund von seiner Kompetenz gemäss Art. 34quinquies Abs. 2 BV nicht Gebrauch macht. Der Bund hat sich bis heute darauf beschränkt, eine Familienzulagenordnung für die Landwirtschaft aufzustellen (vgl. Bundesgesetz vom 20. Juni 1952 über die Familienzulagen in der Landwirtschaft, SR 836.1, und die dazugehörige Ausführungsgesetzgebung). Die kantonale Kompetenz kann (ausserhalb der Landwirtschaft) auch durch staatsvertragliches Bundesrecht beschränkt sein, soweit entsprechende Abkommen unmittelbar anwendbare Bestimmungen enthalten. Der Beschwerdeführer beruft sich insbesondere auf das Abkommen zwischen der Schweizerischen Eidgenossenschaft und der Italienischen Republik über Soziale Sicherheit (abgeschlossen in Rom am 14. Dezember 1962, in Kraft getreten am 1. September 1964; AS 1964 727 ff., SR 0.831.109.454.2). Die entsprechende, auf Art. 84 Abs. 1 lit. c OG gestützte Rüge wird hinten in E. 4 behandelt. b) Wo der Bund einen Sachbereich der Regelung durch den kantonalen Gesetzgeber überlässt, ist dieser an die Vorschriften des Bundesrechts, insbesondere an die Freiheitsrechte und das Rechtsgleichheitsgebot der Bundesverfassung gebunden. Abgesehen davon muss aber den Kantonen, wo sie ihre autonome Gesetzgebungskompetenz wahrnehmen, ein grosser Gestaltungsspielraum zugebilligt werden - auch unter dem Gesichtspunkt der Rechtsgleichheit. So können auf dem Gebiete der Sozialversicherung z.B. die Leistungsberechtigten in Kategorien oder Gruppen zusammengefasst schematisch behandelt werden ( BGE 114 Ia 3 /4 E. 4, mit Hinweis auf die Literatur). Auch vermögen nach der Rechtsprechung technische und praktische Gründe eine Ungleichbehandlung jedenfalls dann zu rechtfertigen, wenn dies nicht zu unbilligen Ergebnissen führt ( BGE 107 V 206 BGE 117 Ia 97 S. 101 E. 3b, mit Hinweisen). Das ist zu berücksichtigen, wenn - wie vorliegend im Fall des § 12 KAZG - eine kantonale Norm über die Ausrichtung von Ausbildungszulagen vorfrageweise auf ihre Verfassungsmässigkeit zu prüfen und dabei an den von der Rechtsprechung entwickelten Grundsätzen zum Gleichbehandlungsgebot ( Art. 4 Abs. 1 BV ) zu messen ist.</w:t>
      </w:r>
    </w:p>
    <w:p>
      <w:r>
        <w:rPr>
          <w:b/>
        </w:rPr>
        <w:t>E. 3</w:t>
      </w:r>
    </w:p>
    <w:p>
      <w:r>
        <w:t>a)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Willkürverbotes ein weiter Spielraum der Gestaltungsfreiheit ( BGE 114 Ia 2 E. 3, 223 E. 2b, 323 E. 3a, je mit Hinweisen). b) Der thurgauische Gesetzgeber hat in § 12 KAZG festgelegt, dass für Kinder mit zivilrechtlichem Wohnsitz im Ausland keine Ausbildungszulagen ausgerichtet werden. Er trifft damit für die Regelung der Zulagenberechtigung eine Unterscheidung je nach Wohnsitz der Kinder im In- oder Ausland. Mit dieser Differenzierung hat sich das Bundesgericht im erwähnten Entscheid 114 Ia 1 ff. (wo es allerdings um den Anspruch von Asylbewerbern auf Kinderzulagen für ihre im Ausland wohnenden Kinder ging) bereits einmal befasst. Dabei hat es festgestellt, dass die Kantone von Verfassungs wegen nicht nur frei sind, den Arbeitgebern den Anschluss an Familienausgleichskassen und die Ausrichtung von Familienzulagen vorzuschreiben; auch bei der Ausgestaltung ihrer Familienzulagenordnungen steht ihnen weitgehende Freiheit zu, u.a. was die Abgrenzung der zulagenberechtigten Arbeitnehmer und der Kinder betrifft, für die sie gesetzlich den Zulagenanspruch haben. So ist keineswegs ausgeschlossen, dass für im Ausland wohnende Kinder generell oder auch ausländischen Arbeitnehmern Zulagen nur nach besonderen Bestimmungen gewährt werden. BGE 117 Ia 97 S. 102 Eine ganze Anzahl von Kantonen hat den Anspruch (von Ausländern) auf Kinderzulagen für im Ausland wohnende Kinder abweichend von demjenigen für in der Schweiz wohnende Kinder geordnet, was durch die Verschiedenartigkeit der Verhältnisse durchaus gerechtfertigt sein kann ( BGE 114 Ia 3 /4 E. 4, mit Quellenhinweis). Das Bundesgericht hat es aus diesen Gründen als mit Art. 4 BV vereinbar bezeichnet, dass der thurgauische Gesetzgeber in § 5 KAZG die zulagenberechtigten Kinder weit umschrieb und dennoch in § 12 des gleichen Gesetzes den Ausschluss von Ausbildungszulagen für im Ausland wohnende Kinder festlegte ( BGE 114 Ia 4 E. 5). c) Das Verwaltungsgericht beruft sich auf diese Erwägungen im bundesgerichtlichen Entscheid. Als wesentlich erachtet es, dass § 12 Abs. 1 KAZG eine generelle Ausnahmeregelung sei: Alle Arbeitnehmer würden gleich behandelt, und auch für Arbeitnehmer schweizerischer Staatsangehörigkeit bestehe kein Anspruch auf Ausbildungszulagen für ihre im Ausland lebenden Kinder. Darin unterscheide sich der vorliegende Fall von BGE 114 Ia 1 ff. Der Beschwerdeführer wendet gegen die Feststellung über die Verfassungsmässigkeit von § 12 Abs. 1 KAZG im erwähnten Urteil ein, es handle sich dabei um eine beiläufige Bemerkung, die für den damaligen Entscheid nicht massgebend gewesen sei und daher auch nicht auf einer vertieften Auseinandersetzung mit dieser Frage beruhe. Er macht zunächst geltend, ähnliche Bestimmungen in andern Kantonen oder auch in verwandten Gebieten des Sozialversicherungsrechts des Bundes (und die entsprechende Aufgabe des Staatsvertragsrechts, solche Unterschiede zu beseitigen) sprächen nur in beschränktem Masse für die Verfassungsmässigkeit dieser Bestimmungen. Er bringt vor, das Wohnsitzkriterium für Kinder bis zum Alter von 15 oder 16 Jahren spiele in keinem Kanton mehr eine Rolle und lediglich 8 (richtig: 10) von 26 Kantonen hätten für Kinder im Ausland, welche über 16 Jahre alt sind, in unterschiedlicher Ausgestaltung abweichende Regeln beibehalten, während mehr als zwei Drittel der Kantone Ausbildungszulagen bis zu einem Alter von meist 25 Jahren ungeachtet des ausländischen Wohnsitzes der Kinder ausrichteten (unter Verweis auf die Zusammenstellung in ZAK 1989 S. 4 Tabelle 2). Ferner vertritt der Beschwerdeführer die Ansicht, die Beschränkung in § 12 KAZG sei auch deshalb system- und zweckwidrig, weil die Kinder- und Ausbildungszulagen an das Arbeitsverhältnis anknüpften und die Beitragserhebung im Ergebnis zu Lasten der BGE 117 Ia 97 S. 103 Arbeitnehmereinkommen erfolge. Die Einschränkung der Ausbildungszulagen für Kinder mit Wohnsitz im Ausland lasse sich auch weder mit dem Obhutsprinzip - das nur im Falle der Konkurrenz von Bedeutung sei - noch mit erschwerten Kontroll- und Abklärungsmöglichkeiten oder mit geringeren Lebenshaltungs- und Ausbildungskosten im Ausland generell rechtfertigen. d) Die Argumentation des Beschwerdeführers zielt - über die vom Verwaltungsgericht vorgebrachte Begründung hinaus - direkt auf die gesetzliche Regelung des § 12 KAZG, die der Beschwerdeführer schlechthin als verfassungswidrig kritisiert, weil dafür haltbare sachliche Motive aus allgemeingültigen Gründen überhaupt nicht denkbar seien. Derart absolut formuliert, ist diese Auffassung unzutreffend. Zudem geht sie von falschen Voraussetzungen aus, was die Rechtsetzungskompetenz im Bereich der Familienzulagen anbelangt (siehe vorne E. 2). Wenn es auch stimmt, dass über die Verfassungsmässigkeit von § 12 KAZG im Bundesgerichtsentscheid 114 Ia 1 ff. (insbesondere in E. 5) nicht zu entscheiden war, so ist dem Beschwerdeführer doch entgegenzuhalten, dass er den in E. 4 jenes Urteils in den Grundsätzen aufgezeigten weitgehenden Spielraum des kantonalen Gesetzgebers zu Unrecht übergeht oder aber dessen Bedeutung verkennt. Es genügt daher an dieser Stelle festzuhalten, dass die einschlägigen bundesgerichtlichen Erwägungen (vgl. auch vorne E. 3b), die sich auf Rechtsprechung und Literatur stützen, im Grundsatz nach wie vor gültig und auch im vorliegenden Fall durchaus von Bedeutung sind. Abgesehen davon vermögen die in der Beschwerde angeführten Gründe weder im einzelnen noch insgesamt die Verfassungswidrigkeit der Regelung in § 12 KAZG darzutun. Gewiss wird durch die kantonalen Familienzulagenordnungen eine Ausgleichspflicht von einem Teil der Familienlasten öffentlichrechtlich durchgesetzt und erfolgt die Beitragserhebung im Ergebnis wirtschaftlich zu Lasten der Lohnmasse. Der auszugleichende Teil dieser Familienlasten wird aber von den Kantonen in vielfältiger Art verschieden abgegrenzt. Aus dem System an sich lässt sich daher nicht schliessen, jede Einschränkung der Leistungsansprüche bedeute eine verfassungswidrige Ungleichbehandlung der Arbeitnehmer von unterstellten Arbeitgebern. Ebensowenig lässt sich daraus folgern, eine Begrenzung der Ansprüche je nach Wohnort der Kinder verletze schon deshalb den Gleichbehandlungsgrundsatz, weil das System der Familienzulagen ausschliesslich auf dem Arbeitsverhältnis BGE 117 Ia 97 S. 104 selbst beruhe. Die (etwas schematische) Abgrenzung des gesetzlichen Anspruchs auf Ausbildungszulagen nach dem praktikablen Kriterium, ob Kinder nach Vollendung des 16. Altersjahres ihre Ausbildung im Inland fortsetzen oder aber im Ausland, ist nicht von vornherein systemwidrig und jedenfalls nicht sachfremd; das Kriterium des Wohnsitzes kann durchaus auch im Bereich der Familienzulagen eine Differenzierung rechtfertigen, vorausgesetzt, dass sich diese auf ernsthafte, sachlich mit den zu regelnden Umständen in Beziehung stehende Gründe stützen kann. Das Verwaltungsgericht führt im angefochtenen Urteil als Motiv für die getroffene Unterscheidung (ausschliesslich) die beschränkte Überprüfungs- und Kontrollmöglichkeit seitens der kantonalen Behörden bezüglich ausländischer Bescheinigungen an. Damit allein liesse sich die Ungleichheit in der Regelung der Zulagenberechtigung freilich nicht rechtfertigen. Indessen sind andere, stichhaltige und sachgerechte Motive für eine derartige Abgrenzung durch den kantonalen Gesetzgeber durchaus denkbar: So ist ein ernsthafter, sachlicher Grund darin zu sehen, dass mit der Beschränkung ungerechtfertigte Kumulationen vermieden werden sollen, wenn für dasselbe Kind bereits Zulagen im ausländischen Wohnsitzstaat ausgerichtet werden. Weiter kann die ungleiche Behandlung etwa damit durchaus verfassungskonform begründet werden, dass der Gesetzgeber das inländische öffentlichrechtliche Ausgleichssystem in der Phase der Berufs- und Hochschulausbildung auf die im inländischen Ausbildungssystem absolvierte und gezielt auf die inländische Wirtschaft ausgerichtete Ausbildung begrenzen will. Auch spricht die doch beachtliche Zahl von 10 Kantonen, die den Zulagenanspruch für Kinder (ausländischer Arbeitnehmer) im Ausland während dieser Ausbildungsphase gegenüber demjenigen für im Inland ausgebildete Kinder auch 1991 noch einschränken (zum Stand am 1. Januar 1991 vgl. die entsprechenden Zusammenstellungen in ZAK 1/1991 S. 10 ff. Tabellen 1 und 2), für die Ernsthaftigkeit und sachliche Berechtigung der verschiedenen denkbaren Motive des kantonalen Gesetzgebers. e) Lassen sich aber - wie soeben gezeigt - sachliche, vernünftige Gründe für die in § 12 KAZG geregelte Ungleichbehandlung anführen, so hält diese Bestimmung vor Art. 4 Abs. 1 BV stand (vgl. vorne E. 3a). Mehr hat das Bundesgericht im Verfahren der staatsrechtlichen Beschwerde wegen Verletzung des Gleichbehandlungsgebotes in diesem Zusammenhang nicht zu prüfen. Weder hat BGE 117 Ia 97 S. 105 es selber (anstelle des kantonalen Gesetzgebers) nach der besten Lösung zu suchen, noch hat es darüber zu befinden, ob der autonome kantonale Gesetzgeber innerhalb des ihm zugebilligten Gestaltungsspielraumes die zweckmässigste und angemessenste Regelung getroffen hat.</w:t>
      </w:r>
    </w:p>
    <w:p>
      <w:r>
        <w:rPr>
          <w:b/>
        </w:rPr>
        <w:t>E. 4</w:t>
      </w:r>
    </w:p>
    <w:p>
      <w:r>
        <w:t>a) Der Beschwerdeführer rügt - subsidiär - einen Verstoss gegen das einschlägige Sozialversicherungsabkommen mit Italien, dem er unbestrittenermassen unterstehe. Er macht geltend, § 12 KAZG sei bei vertragsgemässer Auslegung jedenfalls ihm gegenüber nicht anwendbar, weil jener Staatsvertrag Beschränkungen der Zulagenberechtigung gegenüber italienischen Staatsbürgern wegen ausländischen Aufenthaltes der Kinder verbiete. b) Mit dem erwähnten Sozialversicherungsabkommen aus dem Jahre 1962/1964 hat der Bund die Gleichstellung der im Ausland wohnenden Kinder italienischer Staatsangehöriger für landwirtschaftliche Arbeitnehmer verwirklicht. Das Abkommen bezieht nur die bundesrechtliche Gesetzgebung über die Familienzulagen ein (Art. 1 Ziff. 1 lit. a), ist folglich schweizerischerseits auf landwirtschaftliche Arbeitnehmer italienischer Staatsangehörigkeit (während der Dauer ihrer Beschäftigung in der Schweiz) beschränkt (Art. 15); auf kantonalrechtliche Familienzulagenordnungen ist es dagegen nicht anwendbar (vgl. zum Ganzen die Botschaft des Bundesrates an die Bundesversammlung vom 4. März 1963 im BBl 1963 I 616 ff., speziell 620 Ziff. 3 und 633 Ziff. 2; vgl. ferner die Stellungnahme des Bundesamtes für Sozialversicherung in ZAK 1988 S. 220 Ziff. 3). Aufgrund der bestehenden Rechtslage kann sich der Beschwerdeführer zur Anfechtung des § 12 KAZG somit nicht auf diesen Staatsvertrag berufen. Daran vermögen die Hinweise auf den Verhandlungsverlauf und die Materialien selbst dann nichts zu ändern, wenn eine nachträgliche Einschränkung in der Anspruchsberechtigung, wie der Thurgauer Gesetzgeber sie vorgenommen hat, gegen den Geist des Abkommens verstossen sollte. Unter diesen Umständen braucht nicht geprüft zu werden, ob und inwieweit das angerufene Sozialversicherungsabkommen mit Italien unmittelbar anwendbare Bestimmungen enthält, was überhaupt Voraussetzung für die Zulässigkeit der Staatsvertragsbeschwerde gemäss Art. 84 Abs. 1 lit. c OG wäre (siehe HÄFELIN ULRICH/HALLER WALTER, Schweizerisches Bundesstaatsrecht, 2. Aufl., Zürich 1988, Rz. 1704).</w:t>
      </w:r>
    </w:p>
    <w:p>
      <w:r>
        <w:rPr>
          <w:b/>
        </w:rPr>
        <w:t>E. 5</w:t>
      </w:r>
    </w:p>
    <w:p>
      <w:r>
        <w:t>Der Beschwerdeführer rügt schliesslich die Auslegung von § 12 KAZG durch das Thurgauer Verwaltungsgericht als eine BGE 117 Ia 97 S. 106 durch nichts zu rechtfertigende Fehlinterpretation und damit als willkürlich. Ohnehin unhaltbar, da weder mit dem Wortlaut von § 12 KAZG noch mit der Materie zu vereinbaren, sei zudem die Auslegung des "zivilrechtlichen Wohnsitzes" zum Nachteil der Betroffenen. a) Insoweit der Beschwerdeführer über die Rechtsanwendungsrüge mittelbar wiederum die Verfassungswidrigkeit des § 12 KAZG als solche darzulegen versucht, kann auf E. 3 hievor verwiesen werden. Soweit die Willkürrüge damit begründet wird, § 12 KAZG dürfe, wenn überhaupt, nur unter dem Vorbehalt entgegenstehender staatsvertraglicher Vereinbarungen angewendet werden, weshalb die Auslegung des Verwaltungsgerichtes mit dem Völkerrecht nicht vereinbar sei, stösst sie ins Leere. Das Sozialversicherungsabkommen mit Italien, auf das sich der Beschwerdeführer stützt, ist nämlich auf die thurgauische Familienzulagenordnung nicht anwendbar (E. 4b). Und zwar selbst dann nicht, wenn der "Vorbehalt anderslautender Vereinbarungen", wie er angeblich im Gesetzesentwurf (als Abs. 3 zu § 12) vorgesehen war, tatsächlich ins KAZG aufgenommen worden wäre. Der Hinweis auf den Willen des kantonalen Gesetzgebers ist in diesem Zusammenhang unbehelflich. b) Es bleibt somit noch zu prüfen, ob die Auslegung des "zivilrechtlichen Wohnsitzes" im Sinne von § 12 KAZG, wie sie das Verwaltungsgericht vornahm, vor dem Willkürverbot standhält. Willkür im Sinne von Art. 4 BV liegt bei der Auslegung und Anwendung kantonaler Gesetzesnormen nicht schon dann vor, wenn eine andere Auslegung ebenfalls vertretbar oder sogar zutreffender erschiene. Als willkürlich würde das Bundesgericht den angefochtenen Entscheid nur dann aufheben, wenn er offensichtlich unhaltbar wäre, mit der tatsächlichen Situation in klarem Widerspruch stünde, eine Norm oder einen unumstrittenen Rechtsgrundsatz krass verletzte oder in stossender Weise dem Gerechtigkeitsgedanken zuwiderliefe (vgl. BGE 116 II 29 E. 5; BGE 114 Ia 27 /28 E. b, 218 E. 2a, je mit Hinweisen). Das Verwaltungsgericht hält an seiner in einem früheren Entscheid vertretenen Auffassung fest, der in § 12 KAZG verwendete Ausdruck "zivilrechtlicher Wohnsitz" sei nicht dem abgeleiteten Wohnsitz nach Art. 25 Abs. 1 ZGB gleichzusetzen; vielmehr müsse nach dem Sinn und Zweck des Gesetzes auf den tatsächlichen Wohnsitzbegriff des Art. 23 Abs. 1 ZGB abgestellt werden, wie er auch in anderen Erlassen verwendet werde. Im übrigen entspreche BGE 117 Ia 97 S. 107 selbst das schweizerisch-italienische Sozialversicherungsabkommen mit seiner Formulierung Art. 23 Abs. 1 ZGB . Zudem bestimme sich der Wohnsitz des im Ausland lebenden Kindes seit Inkrafttreten des Bundesgesetzes über das Internationale Privatrecht (IPRG) vom 18. Dezember 1987 (SR 291) immer nach IPRG, und auch dieses Gesetz knüpfe (in Art. 20 Abs. 1 lit. b) am Begriff des gewöhnlichen Aufenthaltes an. Mit dieser Begründung, die sich entscheidend auf Sinn und Zweck des Gesetzes stützt, setzt sich der Beschwerdeführer nicht substantiiert auseinander. Sie ist jedoch stichhaltig und jedenfalls nicht offensichtlich unhaltbar: Die auslegungsbedürftige Formulierung in § 12 KAZG, wonach für "Kinder mit zivilrechtlichem Wohnsitz im Ausland" keine Ausbildungszulagen ausgerichtet werden, kann willkürfrei - und muss sogar zutreffend - so verstanden werden, dass sich diese Einschränkung auf die tatsächlich im Ausland wohnenden Kinder bezieht. Zu Recht versucht übrigens der Beschwerdeführer seine Willkürrüge im Verfahren vor Bundesgericht nicht (mehr) mit dem Argument zu begründen, aufgrund des klaren Gesetzeswortlauts sei im Ergebnis auf den abgeleiteten Wohnsitz gemäss Art. 25 Abs. 1 ZGB abzustellen. Mit einer solchen Auslegung bliebe § 12 KAZG praktisch ohne jede Bedeutung und würde in der Tat der mutmassliche Gesetzeszweck vereitelt. Das Verwaltungsgericht durfte den Sohn des Beschwerdeführers schliesslich deshalb als Kind mit Wohnsitz im Ausland (im Sinne von § 12 Abs. 1 KAZG) betrachten, weil eine genügend enge Bindung oder Beziehung zur Schweiz weder behauptet wurde, noch aktenmässig indiziert war. Die Rüge der willkürlichen Auslegung von § 12 KAZG durch das Thurgauer Verwaltungsgericht erweist sich somit als unbegründet und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